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EB826" w14:textId="77777777" w:rsidR="0012721F" w:rsidRDefault="0012721F" w:rsidP="00CA7DE8">
      <w:pPr>
        <w:spacing w:line="360" w:lineRule="auto"/>
        <w:ind w:firstLine="708"/>
        <w:rPr>
          <w:rFonts w:ascii="Times New Roman" w:hAnsi="Times New Roman" w:cs="Times New Roman"/>
          <w:b/>
          <w:u w:val="single"/>
        </w:rPr>
      </w:pPr>
      <w:r w:rsidRPr="0012721F">
        <w:rPr>
          <w:rFonts w:ascii="Times New Roman" w:hAnsi="Times New Roman" w:cs="Times New Roman"/>
          <w:b/>
          <w:u w:val="single"/>
        </w:rPr>
        <w:t xml:space="preserve">INTERPRETACJA KAR MAJĄTKOWYCH – STAWKI DZIENNE </w:t>
      </w:r>
      <w:bookmarkStart w:id="0" w:name="_GoBack"/>
      <w:bookmarkEnd w:id="0"/>
    </w:p>
    <w:p w14:paraId="486B7B8C" w14:textId="77777777" w:rsidR="0012721F" w:rsidRPr="0012721F" w:rsidRDefault="0012721F" w:rsidP="00CA7DE8">
      <w:pPr>
        <w:spacing w:line="360" w:lineRule="auto"/>
        <w:ind w:firstLine="708"/>
        <w:rPr>
          <w:rFonts w:ascii="Times New Roman" w:hAnsi="Times New Roman" w:cs="Times New Roman"/>
          <w:b/>
          <w:u w:val="single"/>
        </w:rPr>
      </w:pPr>
    </w:p>
    <w:p w14:paraId="5E6F7982" w14:textId="77777777" w:rsidR="00CA7DE8" w:rsidRPr="0012721F" w:rsidRDefault="00CA7DE8" w:rsidP="00CA7DE8">
      <w:pPr>
        <w:spacing w:line="360" w:lineRule="auto"/>
        <w:ind w:firstLine="708"/>
        <w:rPr>
          <w:rFonts w:ascii="Times New Roman" w:hAnsi="Times New Roman" w:cs="Times New Roman"/>
        </w:rPr>
      </w:pPr>
      <w:r w:rsidRPr="00CA7DE8">
        <w:rPr>
          <w:rFonts w:ascii="Times New Roman" w:hAnsi="Times New Roman" w:cs="Times New Roman"/>
        </w:rPr>
        <w:t>Kara grzywny jest karą majątkową przewidzianą za przestępstwo. Jej wysokość nie jest kwotowo określana w sankcji za poszczególne przestępstwo, tak jak ma to miejsce w przypadku wykroczeń (np. podlega karze do 1 000 zł). Karę grzywny za przestępstwo wymierza się w stawkach dziennych.</w:t>
      </w:r>
    </w:p>
    <w:p w14:paraId="75954D49" w14:textId="77777777" w:rsidR="00CA7DE8" w:rsidRPr="00CA7DE8" w:rsidRDefault="00CA7DE8" w:rsidP="00CA7DE8">
      <w:pPr>
        <w:spacing w:line="360" w:lineRule="auto"/>
        <w:ind w:firstLine="708"/>
        <w:rPr>
          <w:rFonts w:ascii="Times New Roman" w:hAnsi="Times New Roman" w:cs="Times New Roman"/>
        </w:rPr>
      </w:pPr>
      <w:r w:rsidRPr="0012721F">
        <w:rPr>
          <w:rFonts w:ascii="Times New Roman" w:hAnsi="Times New Roman" w:cs="Times New Roman"/>
        </w:rPr>
        <w:t xml:space="preserve">Wymierzenie kary grzywny następuje w dwóch etapach. W pierwszym etapie sąd określa liczba stawek dziennych opierając się na wytycznych z przepisu art. 33 § 1 </w:t>
      </w:r>
      <w:hyperlink r:id="rId5" w:history="1">
        <w:r w:rsidRPr="0012721F">
          <w:rPr>
            <w:rFonts w:ascii="Times New Roman" w:hAnsi="Times New Roman" w:cs="Times New Roman"/>
            <w:b/>
            <w:bCs/>
          </w:rPr>
          <w:t>Kodeksu karnego</w:t>
        </w:r>
      </w:hyperlink>
      <w:r w:rsidRPr="0012721F">
        <w:rPr>
          <w:rFonts w:ascii="Times New Roman" w:hAnsi="Times New Roman" w:cs="Times New Roman"/>
        </w:rPr>
        <w:t xml:space="preserve"> (liczba stawek dziennych może wynosić co do zasady od 10 do 540) oraz maksymalnej wysokości liczby stawek dziennych umieszczonej w sankcji danego przepisu określającego przestępstwo. W ten sposób sąd uwzględniając uwarunkowania</w:t>
      </w:r>
      <w:r w:rsidRPr="00CA7DE8">
        <w:rPr>
          <w:rFonts w:ascii="Times New Roman" w:hAnsi="Times New Roman" w:cs="Times New Roman"/>
        </w:rPr>
        <w:t xml:space="preserve"> popełnienia przestępstwa (np. charakter czynu zabronionego, winę, okoliczności wpływające na zaostrzenie bądź złagodzenia kary, sposób popełnienia czynu, motywację sprawcy, okoliczności popełnienia czynu itp.) określa liczbę stawek dziennych.</w:t>
      </w:r>
    </w:p>
    <w:p w14:paraId="7BC2DA49" w14:textId="77777777" w:rsidR="00CA7DE8" w:rsidRPr="00CA7DE8" w:rsidRDefault="0012721F" w:rsidP="00CA7DE8">
      <w:pPr>
        <w:spacing w:line="360" w:lineRule="auto"/>
        <w:rPr>
          <w:rFonts w:ascii="Times New Roman" w:hAnsi="Times New Roman" w:cs="Times New Roman"/>
        </w:rPr>
      </w:pPr>
      <w:hyperlink r:id="rId6" w:history="1">
        <w:r w:rsidR="00CA7DE8" w:rsidRPr="00CA7DE8">
          <w:rPr>
            <w:rFonts w:ascii="Times New Roman" w:hAnsi="Times New Roman" w:cs="Times New Roman"/>
            <w:b/>
            <w:bCs/>
            <w:color w:val="094997"/>
          </w:rPr>
          <w:t>Kary i środki karne</w:t>
        </w:r>
      </w:hyperlink>
    </w:p>
    <w:p w14:paraId="7D3D0A97" w14:textId="77777777" w:rsidR="00CA7DE8" w:rsidRPr="00CA7DE8" w:rsidRDefault="00CA7DE8" w:rsidP="00CA7DE8">
      <w:pPr>
        <w:spacing w:line="360" w:lineRule="auto"/>
        <w:ind w:firstLine="708"/>
        <w:rPr>
          <w:rFonts w:ascii="Times New Roman" w:hAnsi="Times New Roman" w:cs="Times New Roman"/>
        </w:rPr>
      </w:pPr>
      <w:r w:rsidRPr="00CA7DE8">
        <w:rPr>
          <w:rFonts w:ascii="Times New Roman" w:hAnsi="Times New Roman" w:cs="Times New Roman"/>
        </w:rPr>
        <w:t>Drugi etap wymierzenia kary grzywny za przestępstwo opiera się na określeniu wysokości stawki dziennej (art. 33 § 3 Kodeksu karnego). Sąd, ustalając wartość stawki dziennej bierze pod uwagę następujące okoliczności: dochody sprawcy (realna możliwość uiszczenia grzywny), jego warunki osobiste, rodzinne, stosunki majątkowe i możliwości zarobkowe. Dzieje się tak, gdyż wymierzenie kary grzywny sprawcy, która w sposób oczywisty przekracza w jej spłacie jego możliwości, staje się bezcelowe i nie realizuje celów resocjalizacyjnych. Wysokość stawki jest ograniczona ustawowo – nie może być bowiem niższa od 10 zł, ani wyższa od 2 000,00 zł.</w:t>
      </w:r>
    </w:p>
    <w:p w14:paraId="29CC4E99" w14:textId="77777777" w:rsidR="00CA7DE8" w:rsidRPr="00CA7DE8" w:rsidRDefault="00CA7DE8" w:rsidP="00CA7DE8">
      <w:pPr>
        <w:spacing w:line="360" w:lineRule="auto"/>
        <w:ind w:firstLine="708"/>
        <w:rPr>
          <w:rFonts w:ascii="Times New Roman" w:hAnsi="Times New Roman" w:cs="Times New Roman"/>
        </w:rPr>
      </w:pPr>
      <w:r w:rsidRPr="00CA7DE8">
        <w:rPr>
          <w:rFonts w:ascii="Times New Roman" w:hAnsi="Times New Roman" w:cs="Times New Roman"/>
        </w:rPr>
        <w:t>Wartość (wysokość) grzywny oblicza się zatem mnożąc liczbę stawek dziennych przez wysokość jednej stawki dziennej. Dwuetapowy proces wymierzania kary grzywny realizuje powszechną zasadę sprawiedliwości społecznej i praworządności.</w:t>
      </w:r>
    </w:p>
    <w:p w14:paraId="1DF01448" w14:textId="77777777" w:rsidR="005B2095" w:rsidRPr="00CA7DE8" w:rsidRDefault="00CA7DE8" w:rsidP="00CA7DE8">
      <w:pPr>
        <w:spacing w:line="360" w:lineRule="auto"/>
        <w:ind w:firstLine="708"/>
        <w:rPr>
          <w:rFonts w:ascii="Times New Roman" w:hAnsi="Times New Roman" w:cs="Times New Roman"/>
        </w:rPr>
      </w:pPr>
      <w:r w:rsidRPr="00CA7DE8">
        <w:rPr>
          <w:rFonts w:ascii="Times New Roman" w:hAnsi="Times New Roman" w:cs="Times New Roman"/>
        </w:rPr>
        <w:t>W popełnieniu kradzieży z włamaniem uczestniczy dwóch sprawców, którzy wspólnie i w porozumieniu wybili szybę w kiosku i ukradli 10 kartonów papierosów. Sąd wymierzył im karę w wysokości 100 stawek dziennych grzywny i określił wysokość stawki dziennej w sposób następujący. Pierwszemu sprawcy sąd określił wysokość stawki dziennej na kwotę 35 zł biorąc pod uwagę, że ma własną działalność gospodarczą przynoszące pewne zyski; drugiemu zaś – na kwotę 10 zł, stwierdzając że sprawca ten pracuje dorywczo i jest jedynym żywicielem rodziny.</w:t>
      </w:r>
    </w:p>
    <w:sectPr w:rsidR="005B2095" w:rsidRPr="00CA7DE8" w:rsidSect="005B20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8"/>
    <w:rsid w:val="0012721F"/>
    <w:rsid w:val="005B2095"/>
    <w:rsid w:val="00C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19EC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DE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E8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DE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E8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for.pl/prawo/kodeks-karny/" TargetMode="External"/><Relationship Id="rId6" Type="http://schemas.openxmlformats.org/officeDocument/2006/relationships/hyperlink" Target="http://www.infor.pl/prawo/kodeks-karny/kary-i-srodki-karn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2174</Characters>
  <Application>Microsoft Macintosh Word</Application>
  <DocSecurity>0</DocSecurity>
  <Lines>18</Lines>
  <Paragraphs>5</Paragraphs>
  <ScaleCrop>false</ScaleCrop>
  <Company>EWS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2</cp:revision>
  <dcterms:created xsi:type="dcterms:W3CDTF">2015-01-26T15:40:00Z</dcterms:created>
  <dcterms:modified xsi:type="dcterms:W3CDTF">2015-01-31T07:12:00Z</dcterms:modified>
</cp:coreProperties>
</file>